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BE1" w:rsidRDefault="00BD5B2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E3BE1" w:rsidRDefault="00BD5B2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2.001998</w:t>
      </w:r>
    </w:p>
    <w:p w:rsidR="00BE3BE1" w:rsidRDefault="00BD5B2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BE3BE1" w:rsidRDefault="00BD5B2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lại Giấy chứng nhận cơ sở đủ Điều kiện kinh doanh dịch vụ đào tạo thuyền viên, người lái phương tiện thủy nội địa</w:t>
      </w:r>
    </w:p>
    <w:p w:rsidR="00BE3BE1" w:rsidRDefault="00BD5B2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E3BE1" w:rsidRDefault="00BD5B2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BE3BE1" w:rsidRDefault="00BD5B2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BE3BE1" w:rsidRDefault="00BD5B2C">
      <w:pPr>
        <w:spacing w:after="0" w:line="276" w:lineRule="auto"/>
        <w:jc w:val="both"/>
      </w:pPr>
      <w:r>
        <w:rPr>
          <w:rFonts w:ascii="Times New Roman" w:eastAsia="Times New Roman" w:hAnsi="Times New Roman" w:cs="Times New Roman"/>
          <w:b/>
          <w:sz w:val="26"/>
        </w:rPr>
        <w:t xml:space="preserve">Trình tự thực hiện: </w:t>
      </w:r>
    </w:p>
    <w:p w:rsidR="00BE3BE1" w:rsidRDefault="00BD5B2C">
      <w:pPr>
        <w:shd w:val="clear" w:color="auto" w:fill="F2F6F9"/>
        <w:spacing w:before="120" w:after="0" w:line="276" w:lineRule="auto"/>
        <w:jc w:val="both"/>
      </w:pPr>
      <w:r>
        <w:rPr>
          <w:rFonts w:ascii="Times New Roman" w:eastAsia="Times New Roman" w:hAnsi="Times New Roman" w:cs="Times New Roman"/>
          <w:b/>
          <w:sz w:val="26"/>
        </w:rPr>
        <w:t>Nộp hồ sơ TTHC</w:t>
      </w:r>
    </w:p>
    <w:p w:rsidR="00BE3BE1" w:rsidRDefault="00BD5B2C">
      <w:pPr>
        <w:spacing w:after="0" w:line="276" w:lineRule="auto"/>
        <w:jc w:val="both"/>
      </w:pPr>
      <w:r>
        <w:rPr>
          <w:rFonts w:ascii="Times New Roman" w:eastAsia="Times New Roman" w:hAnsi="Times New Roman" w:cs="Times New Roman"/>
          <w:sz w:val="26"/>
        </w:rPr>
        <w:t>- Đối với trường hợp cấp lại khi Giấy chứng nhận bị mất, bị hỏng: Cơ sở đào tạo có văn bản đề nghị cấp lại</w:t>
      </w:r>
      <w:r>
        <w:rPr>
          <w:rFonts w:ascii="Times New Roman" w:eastAsia="Times New Roman" w:hAnsi="Times New Roman" w:cs="Times New Roman"/>
          <w:sz w:val="26"/>
        </w:rPr>
        <w:t xml:space="preserve"> Giấy chứng nhận theo mẫu, gửi trực tiếp hoặc bằng các hình thức phù hợp khác đến Ủy ban nhân dân cấp tỉnh (đối với cơ sở từ loại 3 trở lên) hoặc Sở Xây dựng (đối với cơ sở loại 4). - Đối với trường hợp cấp lại Giấy chứng nhận khi thay đổi địa chỉ hoặc loạ</w:t>
      </w:r>
      <w:r>
        <w:rPr>
          <w:rFonts w:ascii="Times New Roman" w:eastAsia="Times New Roman" w:hAnsi="Times New Roman" w:cs="Times New Roman"/>
          <w:sz w:val="26"/>
        </w:rPr>
        <w:t>i cơ sở đào tạo: Cơ sở đào tạo có nhu cầu đề nghị cấp lại Giấy chứng nhận nộp 01 bộ hồ sơ trực tiếp hoặc gửi qua dịch vụ bưu chính hoặc bằng các hình thức phù hợp khác đến Ủy ban nhân dân cấp tỉnh (đối với cơ sở từ loại 3 trở lên) hoặc Sở Xây dựng (đối với</w:t>
      </w:r>
      <w:r>
        <w:rPr>
          <w:rFonts w:ascii="Times New Roman" w:eastAsia="Times New Roman" w:hAnsi="Times New Roman" w:cs="Times New Roman"/>
          <w:sz w:val="26"/>
        </w:rPr>
        <w:t xml:space="preserve"> cơ sở loại 4).</w:t>
      </w:r>
    </w:p>
    <w:p w:rsidR="00BE3BE1" w:rsidRDefault="00BD5B2C">
      <w:pPr>
        <w:shd w:val="clear" w:color="auto" w:fill="F2F6F9"/>
        <w:spacing w:before="120" w:after="0" w:line="276" w:lineRule="auto"/>
        <w:jc w:val="both"/>
      </w:pPr>
      <w:r>
        <w:rPr>
          <w:rFonts w:ascii="Times New Roman" w:eastAsia="Times New Roman" w:hAnsi="Times New Roman" w:cs="Times New Roman"/>
          <w:b/>
          <w:sz w:val="26"/>
        </w:rPr>
        <w:t>Giải quyết TTHC: Đối với trường hợp cấp lại khi Giấy chứng nhận bị mất, bị hỏng</w:t>
      </w:r>
    </w:p>
    <w:p w:rsidR="00BE3BE1" w:rsidRDefault="00BD5B2C">
      <w:pPr>
        <w:spacing w:after="0" w:line="276" w:lineRule="auto"/>
        <w:jc w:val="both"/>
      </w:pPr>
      <w:r>
        <w:rPr>
          <w:rFonts w:ascii="Times New Roman" w:eastAsia="Times New Roman" w:hAnsi="Times New Roman" w:cs="Times New Roman"/>
          <w:sz w:val="26"/>
        </w:rPr>
        <w:t>Trong thời hạn 05 ngày làm việc kể từ ngày nhận được văn bản đề nghị của cơ sở đào tạo, Ủy ban nhân dân cấp tỉnh (đối với cơ sở từ loại 3 trở lên) hoặc Sở Xây d</w:t>
      </w:r>
      <w:r>
        <w:rPr>
          <w:rFonts w:ascii="Times New Roman" w:eastAsia="Times New Roman" w:hAnsi="Times New Roman" w:cs="Times New Roman"/>
          <w:sz w:val="26"/>
        </w:rPr>
        <w:t>ựng (đối với cơ sở loại 4) cấp lại Giấy chứng nhận cho cơ sở đào tạo.</w:t>
      </w:r>
    </w:p>
    <w:p w:rsidR="00BE3BE1" w:rsidRDefault="00BD5B2C">
      <w:pPr>
        <w:shd w:val="clear" w:color="auto" w:fill="F2F6F9"/>
        <w:spacing w:before="120" w:after="0" w:line="276" w:lineRule="auto"/>
        <w:jc w:val="both"/>
      </w:pPr>
      <w:r>
        <w:rPr>
          <w:rFonts w:ascii="Times New Roman" w:eastAsia="Times New Roman" w:hAnsi="Times New Roman" w:cs="Times New Roman"/>
          <w:b/>
          <w:sz w:val="26"/>
        </w:rPr>
        <w:t>Giải quyết TTHC: Đối với trường hợp cấp lại Giấy chứng nhận khi thay đổi địa chỉ hoặc loại cơ sở đào tạo</w:t>
      </w:r>
    </w:p>
    <w:p w:rsidR="00BE3BE1" w:rsidRDefault="00BD5B2C">
      <w:pPr>
        <w:spacing w:after="0" w:line="276" w:lineRule="auto"/>
        <w:jc w:val="both"/>
      </w:pPr>
      <w:r>
        <w:rPr>
          <w:rFonts w:ascii="Times New Roman" w:eastAsia="Times New Roman" w:hAnsi="Times New Roman" w:cs="Times New Roman"/>
          <w:sz w:val="26"/>
        </w:rPr>
        <w:t>Trường hợp hồ sơ chưa hợp lệ, trong thời hạn 02 ngày làm việc, kể từ ngày nhận đư</w:t>
      </w:r>
      <w:r>
        <w:rPr>
          <w:rFonts w:ascii="Times New Roman" w:eastAsia="Times New Roman" w:hAnsi="Times New Roman" w:cs="Times New Roman"/>
          <w:sz w:val="26"/>
        </w:rPr>
        <w:t>ợc hồ sơ, Ủy ban nhân dân cấp tỉnh (đối với cơ sở từ loại 3 trở lên) hoặc Sở Xây dựng (đối với cơ sở loại 4) phải có văn bản thông báo và hướng dẫn hoàn thiện hồ sơ theo quy định tại Nghị định này. Ủy ban nhân dân cấp tỉnh (đối với cơ sở từ loại 3 trở lên)</w:t>
      </w:r>
      <w:r>
        <w:rPr>
          <w:rFonts w:ascii="Times New Roman" w:eastAsia="Times New Roman" w:hAnsi="Times New Roman" w:cs="Times New Roman"/>
          <w:sz w:val="26"/>
        </w:rPr>
        <w:t xml:space="preserve"> hoặc Sở Xây dựng (đối với cơ sở loại 4) tổ chức kiểm tra thực tế cơ sở đào tạo, lập biên bản kiểm tra. Sau khi kết thúc kiểm tra, nếu đáp ứng đủ điều kiện, trong thời hạn không quá 05 ngày làm việc kể từ ngày nhận được hồ sơ hợp lệ, Ủy ban nhân dân cấp tỉ</w:t>
      </w:r>
      <w:r>
        <w:rPr>
          <w:rFonts w:ascii="Times New Roman" w:eastAsia="Times New Roman" w:hAnsi="Times New Roman" w:cs="Times New Roman"/>
          <w:sz w:val="26"/>
        </w:rPr>
        <w:t>nh (đối với cơ sở từ loại 3 trở lên) hoặc Sở Xây dựng (đối với cơ sở loại 4) cấp Giấy chứng nhận cho cơ sở đào tạo; trường hợp không cấp Giấy chứng nhận phải có văn bản trả lời nêu rõ lý do.</w:t>
      </w:r>
    </w:p>
    <w:p w:rsidR="00BE3BE1" w:rsidRDefault="00BD5B2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1"/>
        <w:gridCol w:w="6492"/>
        <w:gridCol w:w="1028"/>
        <w:gridCol w:w="1040"/>
      </w:tblGrid>
      <w:tr w:rsidR="00BE3BE1">
        <w:tblPrEx>
          <w:tblCellMar>
            <w:top w:w="0" w:type="dxa"/>
            <w:bottom w:w="0" w:type="dxa"/>
          </w:tblCellMar>
        </w:tblPrEx>
        <w:tc>
          <w:tcPr>
            <w:tcW w:w="15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lastRenderedPageBreak/>
              <w:t>Hình thức nộp</w:t>
            </w:r>
          </w:p>
        </w:tc>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lastRenderedPageBreak/>
              <w:t>Thời hạn giải quyết</w:t>
            </w:r>
          </w:p>
        </w:tc>
        <w:tc>
          <w:tcPr>
            <w:tcW w:w="35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lastRenderedPageBreak/>
              <w:t xml:space="preserve">Phí, </w:t>
            </w:r>
            <w:r>
              <w:rPr>
                <w:rFonts w:ascii="Times New Roman" w:eastAsia="Times New Roman" w:hAnsi="Times New Roman" w:cs="Times New Roman"/>
                <w:b/>
                <w:sz w:val="26"/>
              </w:rPr>
              <w:t>lệ phí</w:t>
            </w:r>
          </w:p>
        </w:tc>
        <w:tc>
          <w:tcPr>
            <w:tcW w:w="3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lastRenderedPageBreak/>
              <w:t>Mô tả</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Trực tiếp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 Đối với trường hợp cấp lại khi Giấy chứng nhận bị mất, bị hỏng: Trong thời hạn 05 ngày làm việc kể từ ngày nhận được văn bản đề nghị của cơ sở đào tạo. - Đối với trường hợp cấp lại Giấy chứng nhận khi thay đổi địa chỉ hoặc loại</w:t>
            </w:r>
            <w:r>
              <w:rPr>
                <w:rFonts w:ascii="Times New Roman" w:eastAsia="Times New Roman" w:hAnsi="Times New Roman" w:cs="Times New Roman"/>
                <w:sz w:val="26"/>
              </w:rPr>
              <w:t xml:space="preserve"> cơ sở đào tạo: Trong thời hạn không quá 05 ngày làm việc kể từ ngày nhận được hồ sơ hợp lệ. </w:t>
            </w:r>
          </w:p>
        </w:tc>
        <w:tc>
          <w:tcPr>
            <w:tcW w:w="0" w:type="auto"/>
          </w:tcPr>
          <w:p w:rsidR="00BE3BE1" w:rsidRDefault="00BE3BE1"/>
          <w:p w:rsidR="00BE3BE1" w:rsidRDefault="00BE3BE1">
            <w:pPr>
              <w:spacing w:after="0" w:line="276" w:lineRule="auto"/>
            </w:pP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Hoặc hình thức phù hợp khác</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Trực tuyến</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 xml:space="preserve">- Đối với trường hợp cấp lại khi Giấy chứng nhận bị mất, bị hỏng: Trong thời hạn 05 ngày làm việc kể từ ngày nhận được văn bản đề nghị của cơ sở đào tạo. - Đối với trường hợp cấp lại Giấy chứng nhận khi thay đổi địa chỉ hoặc loại cơ sở đào tạo: Trong thời </w:t>
            </w:r>
            <w:r>
              <w:rPr>
                <w:rFonts w:ascii="Times New Roman" w:eastAsia="Times New Roman" w:hAnsi="Times New Roman" w:cs="Times New Roman"/>
                <w:sz w:val="26"/>
              </w:rPr>
              <w:t xml:space="preserve">hạn không quá 05 ngày làm việc kể từ ngày nhận được hồ sơ hợp lệ. </w:t>
            </w:r>
          </w:p>
        </w:tc>
        <w:tc>
          <w:tcPr>
            <w:tcW w:w="0" w:type="auto"/>
          </w:tcPr>
          <w:p w:rsidR="00BE3BE1" w:rsidRDefault="00BE3BE1"/>
          <w:p w:rsidR="00BE3BE1" w:rsidRDefault="00BE3BE1">
            <w:pPr>
              <w:spacing w:after="0" w:line="276" w:lineRule="auto"/>
            </w:pP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Hoặc hình thức phù hợp khác</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Dịch vụ bưu chính</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 Đối với trường hợp cấp lại khi Giấy chứng nhận bị mất, bị hỏng: Trong thời hạn 05 ngày làm việc kể từ ngày nhận được văn bản đề nghị củ</w:t>
            </w:r>
            <w:r>
              <w:rPr>
                <w:rFonts w:ascii="Times New Roman" w:eastAsia="Times New Roman" w:hAnsi="Times New Roman" w:cs="Times New Roman"/>
                <w:sz w:val="26"/>
              </w:rPr>
              <w:t xml:space="preserve">a cơ sở đào tạo. - Đối với trường hợp cấp lại Giấy chứng nhận khi thay đổi địa chỉ hoặc loại cơ sở đào tạo: Trong thời hạn không quá 05 ngày làm việc kể từ ngày nhận được hồ sơ hợp lệ. </w:t>
            </w:r>
          </w:p>
        </w:tc>
        <w:tc>
          <w:tcPr>
            <w:tcW w:w="0" w:type="auto"/>
          </w:tcPr>
          <w:p w:rsidR="00BE3BE1" w:rsidRDefault="00BE3BE1"/>
          <w:p w:rsidR="00BE3BE1" w:rsidRDefault="00BE3BE1">
            <w:pPr>
              <w:spacing w:after="0" w:line="276" w:lineRule="auto"/>
            </w:pP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Hoặc hình thức phù hợp khác</w:t>
            </w:r>
          </w:p>
        </w:tc>
      </w:tr>
    </w:tbl>
    <w:p w:rsidR="00BE3BE1" w:rsidRDefault="00BD5B2C">
      <w:pPr>
        <w:spacing w:before="240" w:after="0" w:line="276" w:lineRule="auto"/>
        <w:jc w:val="both"/>
      </w:pPr>
      <w:r>
        <w:rPr>
          <w:rFonts w:ascii="Times New Roman" w:eastAsia="Times New Roman" w:hAnsi="Times New Roman" w:cs="Times New Roman"/>
          <w:b/>
          <w:sz w:val="26"/>
        </w:rPr>
        <w:t xml:space="preserve">Thành phần hồ sơ: </w:t>
      </w:r>
    </w:p>
    <w:p w:rsidR="00BE3BE1" w:rsidRDefault="00BD5B2C">
      <w:pPr>
        <w:shd w:val="clear" w:color="auto" w:fill="F2F6F9"/>
        <w:spacing w:before="120" w:after="0" w:line="276" w:lineRule="auto"/>
        <w:jc w:val="both"/>
      </w:pPr>
      <w:r>
        <w:rPr>
          <w:rFonts w:ascii="Times New Roman" w:eastAsia="Times New Roman" w:hAnsi="Times New Roman" w:cs="Times New Roman"/>
          <w:b/>
          <w:sz w:val="26"/>
        </w:rPr>
        <w:t xml:space="preserve"> Đối với trường hợp cấp lại Giấy chứng nhận khi thay đổi địa chỉ hoặc loại cơ sở đào tạo:</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226"/>
        <w:gridCol w:w="1239"/>
        <w:gridCol w:w="946"/>
      </w:tblGrid>
      <w:tr w:rsidR="00BE3BE1">
        <w:tblPrEx>
          <w:tblCellMar>
            <w:top w:w="0" w:type="dxa"/>
            <w:bottom w:w="0" w:type="dxa"/>
          </w:tblCellMar>
        </w:tblPrEx>
        <w:tc>
          <w:tcPr>
            <w:tcW w:w="6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Tên giấy tờ</w:t>
            </w:r>
          </w:p>
        </w:tc>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Mẫu đơn, tờ khai</w:t>
            </w:r>
          </w:p>
        </w:tc>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Số lượng</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01 tờ khai của cơ sở đào tạo đề nghị cấp Giấy chứng nhận theo mẫu</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tờ khai.docx</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lastRenderedPageBreak/>
              <w:t xml:space="preserve">01 bản sao có </w:t>
            </w:r>
            <w:r>
              <w:rPr>
                <w:rFonts w:ascii="Times New Roman" w:eastAsia="Times New Roman" w:hAnsi="Times New Roman" w:cs="Times New Roman"/>
                <w:sz w:val="26"/>
              </w:rPr>
              <w:t>chứng thực (hoặc bản sao kèm bản chính để đối chiếu) văn bằng, chứng chỉ của giáo viên và hợp đồng của giáo viên (hợp đồng làm việc hoặc hợp đồng lao động hoặc hợp đồng thỉnh giảng hoặc hình thức hợp đồng phù hợp khác theo quy định của pháp luật) (chỉ bổ s</w:t>
            </w:r>
            <w:r>
              <w:rPr>
                <w:rFonts w:ascii="Times New Roman" w:eastAsia="Times New Roman" w:hAnsi="Times New Roman" w:cs="Times New Roman"/>
                <w:sz w:val="26"/>
              </w:rPr>
              <w:t>ung những nội dung thay đổi so với lần cấp Giấy chứng nhận gần nhất)</w:t>
            </w:r>
          </w:p>
        </w:tc>
        <w:tc>
          <w:tcPr>
            <w:tcW w:w="0" w:type="auto"/>
          </w:tcPr>
          <w:p w:rsidR="00BE3BE1" w:rsidRDefault="00BE3BE1"/>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1</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 xml:space="preserve">01 bản sao có chứng thực (hoặc bản sao kèm bản chính để đối chiếu) các giấy tờ chứng minh quyền sở hữu, sử dụng hoặc hợp đồng thuê phòng học, xưởng thực tập, </w:t>
            </w:r>
            <w:r>
              <w:rPr>
                <w:rFonts w:ascii="Times New Roman" w:eastAsia="Times New Roman" w:hAnsi="Times New Roman" w:cs="Times New Roman"/>
                <w:sz w:val="26"/>
              </w:rPr>
              <w:t>phương tiện, cầu cảng thủy nội địa, bến thủy nội địa, vùng nước để dạy thực hành; giấy tờ về đăng ký, đăng kiểm phương tiện còn hiệu lực phù hợp với loại, hạng và thời gian đào tạo (chỉ bổ sung những nội dung thay đổi so với lần cấp Giấy chứng nhận gần nhấ</w:t>
            </w:r>
            <w:r>
              <w:rPr>
                <w:rFonts w:ascii="Times New Roman" w:eastAsia="Times New Roman" w:hAnsi="Times New Roman" w:cs="Times New Roman"/>
                <w:sz w:val="26"/>
              </w:rPr>
              <w:t>t).</w:t>
            </w:r>
          </w:p>
        </w:tc>
        <w:tc>
          <w:tcPr>
            <w:tcW w:w="0" w:type="auto"/>
          </w:tcPr>
          <w:p w:rsidR="00BE3BE1" w:rsidRDefault="00BE3BE1"/>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BE3BE1" w:rsidRDefault="00BD5B2C">
      <w:pPr>
        <w:shd w:val="clear" w:color="auto" w:fill="F2F6F9"/>
        <w:spacing w:before="120" w:after="0" w:line="276" w:lineRule="auto"/>
        <w:jc w:val="both"/>
      </w:pPr>
      <w:r>
        <w:rPr>
          <w:rFonts w:ascii="Times New Roman" w:eastAsia="Times New Roman" w:hAnsi="Times New Roman" w:cs="Times New Roman"/>
          <w:b/>
          <w:sz w:val="26"/>
        </w:rPr>
        <w:t>Đối với trường hợp cấp lại khi Giấy chứng nhận bị mất, bị hỏng: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BE3BE1">
        <w:tblPrEx>
          <w:tblCellMar>
            <w:top w:w="0" w:type="dxa"/>
            <w:bottom w:w="0" w:type="dxa"/>
          </w:tblCellMar>
        </w:tblPrEx>
        <w:tc>
          <w:tcPr>
            <w:tcW w:w="6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Tên giấy tờ</w:t>
            </w:r>
          </w:p>
        </w:tc>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Mẫu đơn, tờ khai</w:t>
            </w:r>
          </w:p>
        </w:tc>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Số lượng</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Văn bản đề nghị cấp lại Giấy chứng nhận theo mẫu</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tờ khai cấp lại.docx</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E3BE1" w:rsidRDefault="00BD5B2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BE3BE1" w:rsidRDefault="00BD5B2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Ủy ban nhân dân cấp tỉnh</w:t>
      </w:r>
    </w:p>
    <w:p w:rsidR="00BE3BE1" w:rsidRDefault="00BD5B2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E3BE1" w:rsidRDefault="00BD5B2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w:t>
      </w:r>
      <w:r>
        <w:rPr>
          <w:rFonts w:ascii="Times New Roman" w:eastAsia="Times New Roman" w:hAnsi="Times New Roman" w:cs="Times New Roman"/>
          <w:sz w:val="26"/>
        </w:rPr>
        <w:t xml:space="preserve"> thông tin</w:t>
      </w:r>
    </w:p>
    <w:p w:rsidR="00BE3BE1" w:rsidRDefault="00BD5B2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E3BE1" w:rsidRDefault="00BD5B2C">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E3BE1" w:rsidRDefault="00BD5B2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cơ sở đủ Điều kiện kinh doanh dịch vụ đào tạo thuyền viên, người lái phương tiện thủy nội địa</w:t>
      </w:r>
    </w:p>
    <w:p w:rsidR="00BE3BE1" w:rsidRDefault="00BD5B2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BE3BE1">
        <w:tblPrEx>
          <w:tblCellMar>
            <w:top w:w="0" w:type="dxa"/>
            <w:bottom w:w="0" w:type="dxa"/>
          </w:tblCellMar>
        </w:tblPrEx>
        <w:tc>
          <w:tcPr>
            <w:tcW w:w="2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Số ký hiệu</w:t>
            </w:r>
          </w:p>
        </w:tc>
        <w:tc>
          <w:tcPr>
            <w:tcW w:w="35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Trích y</w:t>
            </w:r>
            <w:r>
              <w:rPr>
                <w:rFonts w:ascii="Times New Roman" w:eastAsia="Times New Roman" w:hAnsi="Times New Roman" w:cs="Times New Roman"/>
                <w:b/>
                <w:sz w:val="26"/>
              </w:rPr>
              <w:t>ếu</w:t>
            </w:r>
          </w:p>
        </w:tc>
        <w:tc>
          <w:tcPr>
            <w:tcW w:w="15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Ngày ban hành</w:t>
            </w:r>
          </w:p>
        </w:tc>
        <w:tc>
          <w:tcPr>
            <w:tcW w:w="3000" w:type="dxa"/>
          </w:tcPr>
          <w:p w:rsidR="00BE3BE1" w:rsidRDefault="00BE3BE1"/>
          <w:p w:rsidR="00BE3BE1" w:rsidRDefault="00BD5B2C">
            <w:pPr>
              <w:spacing w:after="0" w:line="276" w:lineRule="auto"/>
              <w:jc w:val="center"/>
            </w:pPr>
            <w:r>
              <w:rPr>
                <w:rFonts w:ascii="Times New Roman" w:eastAsia="Times New Roman" w:hAnsi="Times New Roman" w:cs="Times New Roman"/>
                <w:b/>
                <w:sz w:val="26"/>
              </w:rPr>
              <w:t>Cơ quan ban hành</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78/2016/NĐ-CP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Quy định điều kiện kinh doanh dịch vụ đào tạo thuyền viên, người lái phương tiện thủy nội địa</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01-07-2016</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Chính phủ</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128/2018/NĐ-CP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SỬA ĐỔI, BỔ SUNG MỘT SỐ ĐIỀU CỦA CÁC NGHỊ ĐỊNH QUY ĐỊNH VỀ ĐIỀU KIỆN</w:t>
            </w:r>
            <w:r>
              <w:rPr>
                <w:rFonts w:ascii="Times New Roman" w:eastAsia="Times New Roman" w:hAnsi="Times New Roman" w:cs="Times New Roman"/>
                <w:sz w:val="26"/>
              </w:rPr>
              <w:t xml:space="preserve"> ĐẦU TƯ, KINH DOANH TRONG LĨNH VỰC ĐƯỜNG THỦY NỘI ĐỊA</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24-09-2018</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Chính phủ</w:t>
            </w:r>
          </w:p>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54/2022/NĐ-CP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Nghị định 54/2022/NĐ-CP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22-08-2022</w:t>
            </w:r>
          </w:p>
        </w:tc>
        <w:tc>
          <w:tcPr>
            <w:tcW w:w="0" w:type="auto"/>
          </w:tcPr>
          <w:p w:rsidR="00BE3BE1" w:rsidRDefault="00BE3BE1"/>
        </w:tc>
      </w:tr>
      <w:tr w:rsidR="00BE3BE1">
        <w:tblPrEx>
          <w:tblCellMar>
            <w:top w:w="0" w:type="dxa"/>
            <w:bottom w:w="0" w:type="dxa"/>
          </w:tblCellMar>
        </w:tblPrEx>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144/2025/NĐ-CP</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12-06-2025</w:t>
            </w:r>
          </w:p>
        </w:tc>
        <w:tc>
          <w:tcPr>
            <w:tcW w:w="0" w:type="auto"/>
          </w:tcPr>
          <w:p w:rsidR="00BE3BE1" w:rsidRDefault="00BE3BE1"/>
          <w:p w:rsidR="00BE3BE1" w:rsidRDefault="00BD5B2C">
            <w:pPr>
              <w:spacing w:after="0" w:line="276" w:lineRule="auto"/>
            </w:pPr>
            <w:r>
              <w:rPr>
                <w:rFonts w:ascii="Times New Roman" w:eastAsia="Times New Roman" w:hAnsi="Times New Roman" w:cs="Times New Roman"/>
                <w:sz w:val="26"/>
              </w:rPr>
              <w:t>Chính phủ</w:t>
            </w:r>
          </w:p>
        </w:tc>
      </w:tr>
    </w:tbl>
    <w:p w:rsidR="00BE3BE1" w:rsidRDefault="00BD5B2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a) Điều kiện về phòng học chuyên môn, phòng thi, kiểm tra Hệ thống phòng học chuyên môn và phòng thi, kiểm tra phải phù hợp với Quy chuẩn kỹ thuật quốc gia về hệ thống phòng học chuyên môn, phòng thi, kiểm tra; xưởng thực hành</w:t>
      </w:r>
      <w:r>
        <w:rPr>
          <w:rFonts w:ascii="Times New Roman" w:eastAsia="Times New Roman" w:hAnsi="Times New Roman" w:cs="Times New Roman"/>
          <w:sz w:val="26"/>
        </w:rPr>
        <w:t>; khu vực dạy thực hành lái và vận hành máy của cơ sở đào tạo thuyền viên, người lái phương tiện thủy nội địa do Bộ trưởng Bộ Xây dựng ban hành, bao gồm: Phòng học pháp luật về giao thông đường thủy nội địa, phòng học điều khiển phương tiện thủy nội địa, p</w:t>
      </w:r>
      <w:r>
        <w:rPr>
          <w:rFonts w:ascii="Times New Roman" w:eastAsia="Times New Roman" w:hAnsi="Times New Roman" w:cs="Times New Roman"/>
          <w:sz w:val="26"/>
        </w:rPr>
        <w:t xml:space="preserve">hòng học lý thuyết máy - điện và phòng học thủy nghiệp cơ bản. Phòng thi, kiểm tra có thể được bố trí chung với các phòng học chuyên môn. b) Xưởng thực hành Các xưởng thực hành phải phù hợp với Quy chuẩn kỹ thuật quốc gia về hệ thống phòng học chuyên môn, </w:t>
      </w:r>
      <w:r>
        <w:rPr>
          <w:rFonts w:ascii="Times New Roman" w:eastAsia="Times New Roman" w:hAnsi="Times New Roman" w:cs="Times New Roman"/>
          <w:sz w:val="26"/>
        </w:rPr>
        <w:t>phòng thi, kiểm tra; xưởng thực hành; khu vực dạy thực hành lái và vận hành máy của cơ sở đào tạo thuyền viên, người lái phương tiện thủy nội địa do Bộ trưởng Bộ Xây dựng ban hành, bao gồm: Xưởng thực hành nguội - cơ khí, thực hành máy - điện. c) Khu vực d</w:t>
      </w:r>
      <w:r>
        <w:rPr>
          <w:rFonts w:ascii="Times New Roman" w:eastAsia="Times New Roman" w:hAnsi="Times New Roman" w:cs="Times New Roman"/>
          <w:sz w:val="26"/>
        </w:rPr>
        <w:t>ạy thực hành lái và vận hành máy - Khu vực dạy thực hành lái và vận hành máy phải phù hợp với Quy chuẩn kỹ thuật quốc gia về hệ thống phòng học chuyên môn, phòng thi, kiểm tra; xưởng thực hành; khu vực dạy thực hành lái và vận hành máy của cơ sở đào tạo th</w:t>
      </w:r>
      <w:r>
        <w:rPr>
          <w:rFonts w:ascii="Times New Roman" w:eastAsia="Times New Roman" w:hAnsi="Times New Roman" w:cs="Times New Roman"/>
          <w:sz w:val="26"/>
        </w:rPr>
        <w:t>uyền viên, người lái phương tiện thủy nội địa do Bộ trưởng Bộ Xây dựng ban hành. - Phương tiện thực hành phải có giấy tờ hợp pháp về đăng ký, đăng kiểm, các trang thiết bị phục vụ hành trình, cứu sinh, cứu hỏa, cứu thủng và phải treo biển "Phương tiện huấn</w:t>
      </w:r>
      <w:r>
        <w:rPr>
          <w:rFonts w:ascii="Times New Roman" w:eastAsia="Times New Roman" w:hAnsi="Times New Roman" w:cs="Times New Roman"/>
          <w:sz w:val="26"/>
        </w:rPr>
        <w:t xml:space="preserve"> luyện" ở vị trí dễ quan sát trong khi huấn luyện.”. d) Nội dung, chương trình đào tạo Nội dung, chương trình đào tạo thuyền viên, người lái phương tiện thủy nội địa được thực hiện theo quy định của Bộ trưởng Bộ Xây dựng. đ) Đội ngũ giáo viên - Tiêu chuẩn </w:t>
      </w:r>
      <w:r>
        <w:rPr>
          <w:rFonts w:ascii="Times New Roman" w:eastAsia="Times New Roman" w:hAnsi="Times New Roman" w:cs="Times New Roman"/>
          <w:sz w:val="26"/>
        </w:rPr>
        <w:t>của đội ngũ giáo viên được thực hiện theo quy định của pháp luật về giáo dục nghề nghiệp. - Đối với giáo viên dạy thực hành, ngoài tiêu chuẩn theo quy định của pháp luật về giáo dục nghề nghiệp, còn phải bảo đảm các tiêu chuẩn sau: + Giáo viên dạy thực hàn</w:t>
      </w:r>
      <w:r>
        <w:rPr>
          <w:rFonts w:ascii="Times New Roman" w:eastAsia="Times New Roman" w:hAnsi="Times New Roman" w:cs="Times New Roman"/>
          <w:sz w:val="26"/>
        </w:rPr>
        <w:t>h thuyền trưởng, máy trưởng phải có giấy chứng nhận khả năng chuyên môn thuyền trưởng, máy trưởng cao hơn ít nhất 01 hạng so với hạng giấy chứng nhận khả năng chuyên môn được phân công giảng dạy; + Giáo viên dạy thực hành thuyền trưởng, máy trưởng hạng nhấ</w:t>
      </w:r>
      <w:r>
        <w:rPr>
          <w:rFonts w:ascii="Times New Roman" w:eastAsia="Times New Roman" w:hAnsi="Times New Roman" w:cs="Times New Roman"/>
          <w:sz w:val="26"/>
        </w:rPr>
        <w:t>t phải có giấy chứng nhận khả năng chuyên môn thuyền trưởng, máy trưởng hạng nhất và có thời gian đảm nhiệm chức danh hạng nhất từ 36 tháng trở lên.</w:t>
      </w:r>
    </w:p>
    <w:p w:rsidR="00BE3BE1" w:rsidRDefault="00BD5B2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E3BE1" w:rsidRDefault="00BD5B2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E3BE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E3BE1"/>
    <w:rsid w:val="00BD5B2C"/>
    <w:rsid w:val="00BE3B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BF897-151A-458E-9740-51113F1D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7018</Characters>
  <Application>Microsoft Office Word</Application>
  <DocSecurity>0</DocSecurity>
  <Lines>58</Lines>
  <Paragraphs>16</Paragraphs>
  <ScaleCrop>false</ScaleCrop>
  <Company>Microsoft</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